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23" w:rsidRPr="005C6CDF" w:rsidRDefault="00D65323" w:rsidP="00D65323">
      <w:pPr>
        <w:spacing w:line="240" w:lineRule="auto"/>
        <w:ind w:firstLine="709"/>
        <w:rPr>
          <w:rFonts w:eastAsia="SchoolBookSanPin" w:cs="Times New Roman"/>
          <w:color w:val="231F20"/>
          <w:sz w:val="24"/>
          <w:szCs w:val="24"/>
          <w:lang w:val="ru-RU"/>
        </w:rPr>
      </w:pPr>
    </w:p>
    <w:p w:rsidR="00D65323" w:rsidRDefault="00D65323" w:rsidP="00D65323">
      <w:pPr>
        <w:spacing w:line="240" w:lineRule="auto"/>
        <w:ind w:firstLine="709"/>
        <w:jc w:val="center"/>
        <w:rPr>
          <w:b/>
          <w:sz w:val="24"/>
          <w:szCs w:val="24"/>
        </w:rPr>
      </w:pPr>
      <w:proofErr w:type="spellStart"/>
      <w:r w:rsidRPr="005C6CDF">
        <w:rPr>
          <w:b/>
          <w:sz w:val="24"/>
          <w:szCs w:val="24"/>
        </w:rPr>
        <w:t>План</w:t>
      </w:r>
      <w:proofErr w:type="spellEnd"/>
      <w:r w:rsidRPr="005C6CDF">
        <w:rPr>
          <w:b/>
          <w:sz w:val="24"/>
          <w:szCs w:val="24"/>
        </w:rPr>
        <w:t xml:space="preserve"> </w:t>
      </w:r>
      <w:proofErr w:type="spellStart"/>
      <w:r w:rsidRPr="005C6CDF">
        <w:rPr>
          <w:b/>
          <w:sz w:val="24"/>
          <w:szCs w:val="24"/>
        </w:rPr>
        <w:t>внеурочной</w:t>
      </w:r>
      <w:proofErr w:type="spellEnd"/>
      <w:r w:rsidRPr="005C6CDF">
        <w:rPr>
          <w:b/>
          <w:sz w:val="24"/>
          <w:szCs w:val="24"/>
        </w:rPr>
        <w:t xml:space="preserve"> </w:t>
      </w:r>
      <w:proofErr w:type="spellStart"/>
      <w:r w:rsidRPr="005C6CDF">
        <w:rPr>
          <w:b/>
          <w:sz w:val="24"/>
          <w:szCs w:val="24"/>
        </w:rPr>
        <w:t>деятельности</w:t>
      </w:r>
      <w:proofErr w:type="spellEnd"/>
    </w:p>
    <w:p w:rsidR="00D65323" w:rsidRPr="00D65323" w:rsidRDefault="00D65323" w:rsidP="00D65323">
      <w:pPr>
        <w:spacing w:line="24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МОУ «Гимназия №1»в 5-11 классах</w:t>
      </w:r>
      <w:bookmarkStart w:id="0" w:name="_GoBack"/>
      <w:bookmarkEnd w:id="0"/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71"/>
        <w:gridCol w:w="2503"/>
        <w:gridCol w:w="1607"/>
        <w:gridCol w:w="549"/>
        <w:gridCol w:w="609"/>
        <w:gridCol w:w="669"/>
        <w:gridCol w:w="549"/>
        <w:gridCol w:w="961"/>
      </w:tblGrid>
      <w:tr w:rsidR="00D65323" w:rsidRPr="005C6CDF" w:rsidTr="00E96BF3">
        <w:trPr>
          <w:trHeight w:val="522"/>
        </w:trPr>
        <w:tc>
          <w:tcPr>
            <w:tcW w:w="247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реализуемые программы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форма организации</w:t>
            </w:r>
          </w:p>
        </w:tc>
        <w:tc>
          <w:tcPr>
            <w:tcW w:w="3337" w:type="dxa"/>
            <w:gridSpan w:val="5"/>
          </w:tcPr>
          <w:p w:rsidR="00D65323" w:rsidRPr="005C6CDF" w:rsidRDefault="00D65323" w:rsidP="00E96BF3">
            <w:pPr>
              <w:ind w:firstLine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</w:t>
            </w:r>
            <w:r w:rsidRPr="005C6CDF">
              <w:rPr>
                <w:b/>
                <w:sz w:val="24"/>
                <w:szCs w:val="24"/>
                <w:lang w:val="ru-RU"/>
              </w:rPr>
              <w:t>т</w:t>
            </w:r>
            <w:r>
              <w:rPr>
                <w:b/>
                <w:sz w:val="24"/>
                <w:szCs w:val="24"/>
                <w:lang w:val="ru-RU"/>
              </w:rPr>
              <w:t>в</w:t>
            </w:r>
            <w:r w:rsidRPr="005C6CDF">
              <w:rPr>
                <w:b/>
                <w:sz w:val="24"/>
                <w:szCs w:val="24"/>
                <w:lang w:val="ru-RU"/>
              </w:rPr>
              <w:t xml:space="preserve">о часов по </w:t>
            </w:r>
            <w:proofErr w:type="spellStart"/>
            <w:r w:rsidRPr="005C6CDF">
              <w:rPr>
                <w:b/>
                <w:sz w:val="24"/>
                <w:szCs w:val="24"/>
                <w:lang w:val="ru-RU"/>
              </w:rPr>
              <w:t>паралелям</w:t>
            </w:r>
            <w:proofErr w:type="spellEnd"/>
            <w:r w:rsidRPr="005C6CDF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D65323" w:rsidRPr="005C6CDF" w:rsidTr="00E96BF3">
        <w:trPr>
          <w:trHeight w:val="522"/>
        </w:trPr>
        <w:tc>
          <w:tcPr>
            <w:tcW w:w="247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5C6CDF"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5C6CDF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6кл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7кл.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5C6CDF"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5C6CDF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5C6CDF"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 w:rsidRPr="005C6CD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D65323" w:rsidRPr="005C6CDF" w:rsidTr="00E96BF3">
        <w:trPr>
          <w:trHeight w:val="1555"/>
        </w:trPr>
        <w:tc>
          <w:tcPr>
            <w:tcW w:w="2471" w:type="dxa"/>
            <w:vMerge w:val="restart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внеурочную деятельность по учебным предметам образовательной программы</w:t>
            </w: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«Практическое обществознание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61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«Мир биологии»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left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61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 xml:space="preserve">«Мир химии» 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0,5</w:t>
            </w:r>
          </w:p>
        </w:tc>
      </w:tr>
      <w:tr w:rsidR="00D65323" w:rsidRPr="005C6CDF" w:rsidTr="00E96BF3">
        <w:trPr>
          <w:trHeight w:val="261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«Актуальные вопросы истории».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61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«Совершенствуем английский»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0,25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Увлекательная информатика»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ind w:firstLine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«Путь от Калининграда до Камчатки»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</w:pPr>
            <w:r w:rsidRPr="005C6CDF">
              <w:rPr>
                <w:sz w:val="24"/>
                <w:szCs w:val="24"/>
                <w:lang w:val="ru-RU"/>
              </w:rPr>
              <w:t xml:space="preserve">факультатив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 w:val="restart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неурочную деятельность по формированию функциональной грамотности</w:t>
            </w: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sz w:val="24"/>
                <w:szCs w:val="24"/>
              </w:rPr>
              <w:t>«</w:t>
            </w:r>
            <w:proofErr w:type="spellStart"/>
            <w:r w:rsidRPr="005C6CDF">
              <w:rPr>
                <w:sz w:val="24"/>
                <w:szCs w:val="24"/>
              </w:rPr>
              <w:t>Функциональная</w:t>
            </w:r>
            <w:proofErr w:type="spellEnd"/>
            <w:r w:rsidRPr="005C6CDF">
              <w:rPr>
                <w:sz w:val="24"/>
                <w:szCs w:val="24"/>
              </w:rPr>
              <w:t xml:space="preserve"> </w:t>
            </w:r>
            <w:proofErr w:type="spellStart"/>
            <w:r w:rsidRPr="005C6CDF">
              <w:rPr>
                <w:sz w:val="24"/>
                <w:szCs w:val="24"/>
              </w:rPr>
              <w:t>грамотность</w:t>
            </w:r>
            <w:proofErr w:type="spellEnd"/>
            <w:r w:rsidRPr="005C6CDF"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C6CDF">
              <w:rPr>
                <w:rFonts w:cs="Times New Roman"/>
                <w:sz w:val="24"/>
                <w:szCs w:val="24"/>
              </w:rPr>
              <w:t>Финансовая</w:t>
            </w:r>
            <w:proofErr w:type="spellEnd"/>
            <w:r w:rsidRPr="005C6CD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C6CDF">
              <w:rPr>
                <w:rFonts w:cs="Times New Roman"/>
                <w:sz w:val="24"/>
                <w:szCs w:val="24"/>
              </w:rPr>
              <w:t>грамотность</w:t>
            </w:r>
            <w:proofErr w:type="spellEnd"/>
            <w:r w:rsidRPr="005C6CD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0"/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 xml:space="preserve">«Проектно- исследовательская деятельность», </w:t>
            </w:r>
          </w:p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D65323" w:rsidRPr="00E82884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практикумы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 w:val="restart"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</w:t>
            </w: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«Подготовка волонтеров»</w:t>
            </w:r>
            <w:r w:rsidRPr="005C6CD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D65323" w:rsidRPr="005C6CDF" w:rsidRDefault="00D65323" w:rsidP="00E96BF3">
            <w:pPr>
              <w:jc w:val="left"/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объединение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«Разговоры о важном»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lang w:val="ru-RU"/>
              </w:rPr>
              <w:t xml:space="preserve">разговор или беседа с </w:t>
            </w:r>
            <w:proofErr w:type="spellStart"/>
            <w:r w:rsidRPr="005C6CDF">
              <w:rPr>
                <w:lang w:val="ru-RU"/>
              </w:rPr>
              <w:t>обучающи</w:t>
            </w:r>
            <w:proofErr w:type="spellEnd"/>
            <w:r w:rsidRPr="005C6CDF">
              <w:rPr>
                <w:lang w:val="ru-RU"/>
              </w:rPr>
              <w:t xml:space="preserve"> </w:t>
            </w:r>
            <w:proofErr w:type="spellStart"/>
            <w:r w:rsidRPr="005C6CDF">
              <w:rPr>
                <w:lang w:val="ru-RU"/>
              </w:rPr>
              <w:t>мися</w:t>
            </w:r>
            <w:proofErr w:type="spellEnd"/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Программа профориентации. «Билет в будущее»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C6CDF">
              <w:t>профорие</w:t>
            </w:r>
            <w:proofErr w:type="spellEnd"/>
            <w:r w:rsidRPr="005C6CDF">
              <w:t xml:space="preserve"> </w:t>
            </w:r>
            <w:proofErr w:type="spellStart"/>
            <w:r w:rsidRPr="005C6CDF">
              <w:t>нтационны</w:t>
            </w:r>
            <w:proofErr w:type="spellEnd"/>
            <w:r w:rsidRPr="005C6CDF">
              <w:t xml:space="preserve"> е </w:t>
            </w:r>
            <w:proofErr w:type="spellStart"/>
            <w:r w:rsidRPr="005C6CDF">
              <w:t>уроки</w:t>
            </w:r>
            <w:proofErr w:type="spellEnd"/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Программа профориентации.</w:t>
            </w:r>
            <w:r w:rsidRPr="005C6CDF">
              <w:rPr>
                <w:lang w:val="ru-RU"/>
              </w:rPr>
              <w:t xml:space="preserve"> «Россия -Мои горизонты»</w:t>
            </w:r>
          </w:p>
        </w:tc>
        <w:tc>
          <w:tcPr>
            <w:tcW w:w="1607" w:type="dxa"/>
          </w:tcPr>
          <w:p w:rsidR="00D65323" w:rsidRPr="00A538EA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t>профорие</w:t>
            </w:r>
            <w:proofErr w:type="spellEnd"/>
            <w:r>
              <w:t xml:space="preserve"> </w:t>
            </w:r>
            <w:proofErr w:type="spellStart"/>
            <w:r>
              <w:t>нтационны</w:t>
            </w:r>
            <w:r w:rsidRPr="005C6CDF">
              <w:t>е</w:t>
            </w:r>
            <w:proofErr w:type="spellEnd"/>
            <w:r w:rsidRPr="005C6CDF">
              <w:t xml:space="preserve"> </w:t>
            </w:r>
            <w:r>
              <w:rPr>
                <w:lang w:val="ru-RU"/>
              </w:rPr>
              <w:t>классные часы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jc w:val="left"/>
              <w:rPr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«Экология общения»</w:t>
            </w:r>
          </w:p>
          <w:p w:rsidR="00D65323" w:rsidRPr="005C6CDF" w:rsidRDefault="00D65323" w:rsidP="00E96BF3"/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 w:val="restart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 xml:space="preserve">внеурочную деятельность, </w:t>
            </w: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lastRenderedPageBreak/>
              <w:t>направленную на реализацию комплекса воспитательных мероприятий</w:t>
            </w:r>
          </w:p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  <w:p w:rsidR="00D65323" w:rsidRPr="005C6CDF" w:rsidRDefault="00D65323" w:rsidP="00E96BF3">
            <w:pPr>
              <w:rPr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«</w:t>
            </w:r>
            <w:r w:rsidRPr="005C6CDF">
              <w:rPr>
                <w:rFonts w:cs="Times New Roman"/>
                <w:sz w:val="24"/>
                <w:szCs w:val="24"/>
                <w:lang w:val="ru-RU"/>
              </w:rPr>
              <w:t>Волейбол»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«Туризм»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jc w:val="left"/>
            </w:pPr>
            <w:r w:rsidRPr="005C6CDF">
              <w:rPr>
                <w:rFonts w:cs="Times New Roman"/>
                <w:sz w:val="24"/>
                <w:szCs w:val="24"/>
                <w:lang w:val="ru-RU"/>
              </w:rPr>
              <w:t>«Кадеты России»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 xml:space="preserve">объединение 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«Кукольный театр»</w:t>
            </w:r>
          </w:p>
          <w:p w:rsidR="00D65323" w:rsidRPr="005C6CDF" w:rsidRDefault="00D65323" w:rsidP="00E96BF3">
            <w:pPr>
              <w:jc w:val="left"/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jc w:val="left"/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 w:val="restart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внеурочную деятельность по организации деятельности ученических сообществ</w:t>
            </w: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709"/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«Спортивный клуб»</w:t>
            </w:r>
          </w:p>
          <w:p w:rsidR="00D65323" w:rsidRPr="005C6CDF" w:rsidRDefault="00D65323" w:rsidP="00E96B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  <w:vMerge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709"/>
              <w:rPr>
                <w:rFonts w:eastAsia="SchoolBookSanPin" w:cs="Times New Roman"/>
                <w:sz w:val="24"/>
                <w:szCs w:val="24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«Движение первых»</w:t>
            </w:r>
          </w:p>
          <w:p w:rsidR="00D65323" w:rsidRPr="005C6CDF" w:rsidRDefault="00D65323" w:rsidP="00E96BF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 xml:space="preserve">внеурочную деятельность, направленную на обеспечение благополучия обучающихся в пространстве общеобразовательной школы </w:t>
            </w:r>
          </w:p>
        </w:tc>
        <w:tc>
          <w:tcPr>
            <w:tcW w:w="2503" w:type="dxa"/>
          </w:tcPr>
          <w:p w:rsidR="00D65323" w:rsidRPr="005C6CDF" w:rsidRDefault="00D65323" w:rsidP="00E96BF3">
            <w:pPr>
              <w:ind w:firstLine="709"/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</w:pP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 xml:space="preserve">программа </w:t>
            </w:r>
            <w:proofErr w:type="spellStart"/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направденная</w:t>
            </w:r>
            <w:proofErr w:type="spellEnd"/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 xml:space="preserve"> на преодоление </w:t>
            </w:r>
            <w:proofErr w:type="spellStart"/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буллинга</w:t>
            </w:r>
            <w:proofErr w:type="spellEnd"/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 xml:space="preserve"> в школе </w:t>
            </w:r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br/>
              <w:t>«</w:t>
            </w:r>
            <w:proofErr w:type="spellStart"/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Кинотерапия</w:t>
            </w:r>
            <w:proofErr w:type="spellEnd"/>
            <w:r w:rsidRPr="005C6CDF"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gridSpan w:val="5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5C6CDF">
              <w:rPr>
                <w:b/>
                <w:sz w:val="24"/>
                <w:szCs w:val="24"/>
                <w:lang w:val="ru-RU"/>
              </w:rPr>
              <w:t>12,75</w:t>
            </w:r>
          </w:p>
        </w:tc>
      </w:tr>
      <w:tr w:rsidR="00D65323" w:rsidRPr="005C6CDF" w:rsidTr="00E96BF3">
        <w:trPr>
          <w:trHeight w:val="249"/>
        </w:trPr>
        <w:tc>
          <w:tcPr>
            <w:tcW w:w="2471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503" w:type="dxa"/>
          </w:tcPr>
          <w:p w:rsidR="00D65323" w:rsidRPr="005C6CDF" w:rsidRDefault="00D65323" w:rsidP="00E96BF3">
            <w:pPr>
              <w:rPr>
                <w:rFonts w:eastAsia="SchoolBookSanPi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0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6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61" w:type="dxa"/>
          </w:tcPr>
          <w:p w:rsidR="00D65323" w:rsidRPr="005C6CDF" w:rsidRDefault="00D65323" w:rsidP="00E96BF3">
            <w:pP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65323" w:rsidRPr="005C6CDF" w:rsidRDefault="00D65323" w:rsidP="00D65323">
      <w:pPr>
        <w:spacing w:line="240" w:lineRule="auto"/>
        <w:ind w:firstLine="0"/>
        <w:rPr>
          <w:rFonts w:eastAsia="SchoolBookSanPin" w:cs="Times New Roman"/>
          <w:b/>
          <w:sz w:val="24"/>
          <w:szCs w:val="24"/>
          <w:lang w:val="ru-RU"/>
        </w:rPr>
      </w:pPr>
    </w:p>
    <w:p w:rsidR="00D65323" w:rsidRPr="005C6CDF" w:rsidRDefault="00D65323" w:rsidP="00D65323">
      <w:pPr>
        <w:spacing w:line="240" w:lineRule="auto"/>
        <w:ind w:firstLine="709"/>
        <w:jc w:val="center"/>
        <w:rPr>
          <w:rFonts w:eastAsia="SchoolBookSanPin" w:cs="Times New Roman"/>
          <w:b/>
          <w:sz w:val="24"/>
          <w:szCs w:val="24"/>
          <w:lang w:val="ru-RU"/>
        </w:rPr>
      </w:pPr>
    </w:p>
    <w:p w:rsidR="00D65323" w:rsidRPr="005C6CDF" w:rsidRDefault="00D65323" w:rsidP="00D65323">
      <w:pPr>
        <w:spacing w:line="240" w:lineRule="auto"/>
        <w:ind w:firstLine="709"/>
        <w:jc w:val="center"/>
        <w:rPr>
          <w:rFonts w:eastAsia="SchoolBookSanPin" w:cs="Times New Roman"/>
          <w:b/>
          <w:sz w:val="24"/>
          <w:szCs w:val="24"/>
          <w:lang w:val="ru-RU"/>
        </w:rPr>
      </w:pPr>
    </w:p>
    <w:p w:rsidR="00243429" w:rsidRDefault="00243429"/>
    <w:sectPr w:rsidR="0024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3"/>
    <w:rsid w:val="00243429"/>
    <w:rsid w:val="005749A2"/>
    <w:rsid w:val="00D65323"/>
    <w:rsid w:val="00E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0E4D0"/>
  <w15:chartTrackingRefBased/>
  <w15:docId w15:val="{ED7808A4-8B68-4007-B4A2-3EE74256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23"/>
    <w:pPr>
      <w:spacing w:after="0"/>
      <w:ind w:firstLine="425"/>
      <w:jc w:val="both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2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2023-10-10T12:28:00Z</dcterms:created>
  <dcterms:modified xsi:type="dcterms:W3CDTF">2023-10-10T12:29:00Z</dcterms:modified>
</cp:coreProperties>
</file>